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0B52D" w14:textId="4FB9A01F" w:rsidR="002E264F" w:rsidRPr="00627767" w:rsidRDefault="002E264F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LUGAR: </w:t>
      </w:r>
      <w:r w:rsidR="0062776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4D681E" w:rsidRPr="004D681E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Ips Ingruma Salud Ltda.</w:t>
      </w:r>
    </w:p>
    <w:p w14:paraId="40092DCD" w14:textId="7777777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29D36327" w14:textId="5C513891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FECHA</w:t>
      </w:r>
    </w:p>
    <w:p w14:paraId="1084FF11" w14:textId="77777777" w:rsid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1884E873" w14:textId="12C7B137" w:rsidR="00C82012" w:rsidRPr="005A1B57" w:rsidRDefault="00DC695E" w:rsidP="00C82012">
      <w:pPr>
        <w:widowControl w:val="0"/>
        <w:spacing w:line="360" w:lineRule="auto"/>
        <w:jc w:val="both"/>
        <w:rPr>
          <w:rFonts w:ascii="Arial" w:eastAsia="SimSun" w:hAnsi="Arial" w:cs="Arial"/>
          <w:bCs/>
          <w:lang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OBJETIVO GENERAL</w:t>
      </w:r>
      <w:r>
        <w:rPr>
          <w:rFonts w:ascii="Arial" w:eastAsia="SimSun" w:hAnsi="Arial" w:cs="Arial"/>
          <w:sz w:val="24"/>
          <w:szCs w:val="24"/>
          <w:lang w:val="es-CO" w:eastAsia="hi-IN" w:bidi="hi-IN"/>
        </w:rPr>
        <w:t>:</w:t>
      </w:r>
      <w:r w:rsidR="00FB7B76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5A1B57"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Promover la transparencia y la mejora continua en la atención institucional mediante la socialización del proceso de recepción, gestión y respuesta de las PQRS, garantizando que la comunidad conozca los canales disponibles y los tiempos establecidos para la atención de sus solicitudes.</w:t>
      </w:r>
    </w:p>
    <w:p w14:paraId="736C564A" w14:textId="3DD63BC0" w:rsidR="00DC695E" w:rsidRPr="002A71A5" w:rsidRDefault="00DC695E" w:rsidP="00DC695E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48E77B27" w14:textId="77777777" w:rsidR="00DC695E" w:rsidRPr="002A71A5" w:rsidRDefault="00DC695E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08E64D38" w14:textId="77777777" w:rsidR="005A1B57" w:rsidRPr="005A1B57" w:rsidRDefault="002E264F" w:rsidP="005A1B57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 w:rsidR="00DC695E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</w:t>
      </w:r>
      <w:r w:rsid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1: </w:t>
      </w:r>
      <w:r w:rsidR="005A1B57" w:rsidRPr="005A1B5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Explicación de la confidencialidad del proceso</w:t>
      </w:r>
    </w:p>
    <w:p w14:paraId="46E099F9" w14:textId="062D19AA" w:rsidR="002A71A5" w:rsidRPr="005A1B57" w:rsidRDefault="005A1B57" w:rsidP="005A1B57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aclaró que la información suministrada por los usuarios es tratada de manera confidencial, brindando seguridad y confianza en el uso del buzón.</w:t>
      </w:r>
    </w:p>
    <w:p w14:paraId="7D31DC12" w14:textId="77777777" w:rsidR="00C82012" w:rsidRDefault="00C82012" w:rsidP="00C82012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6527B7EC" w14:textId="77777777" w:rsidR="005A1B57" w:rsidRPr="005A1B57" w:rsidRDefault="00DC695E" w:rsidP="005A1B57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2: </w:t>
      </w:r>
      <w:r w:rsidR="005A1B57" w:rsidRPr="005A1B5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Divulgación de los tiempos y responsables del proceso</w:t>
      </w:r>
    </w:p>
    <w:p w14:paraId="5D2A6EB1" w14:textId="3FC7B2E0" w:rsidR="00DC695E" w:rsidRPr="005A1B57" w:rsidRDefault="005A1B57" w:rsidP="005A1B57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explicó quiénes son los responsables de la recepción y gestión de las PQRS y los tiempos establecidos para dar respuesta, fortaleciendo la transparencia del proceso.</w:t>
      </w:r>
    </w:p>
    <w:p w14:paraId="7BA8806B" w14:textId="77777777" w:rsidR="00C82012" w:rsidRPr="00C82012" w:rsidRDefault="00C82012" w:rsidP="00C82012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6937E595" w14:textId="77777777" w:rsidR="005A1B57" w:rsidRPr="005A1B57" w:rsidRDefault="00DC695E" w:rsidP="005A1B57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3: </w:t>
      </w:r>
      <w:r w:rsidR="005A1B57" w:rsidRPr="005A1B5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Retroalimentación y conclusiones</w:t>
      </w:r>
    </w:p>
    <w:p w14:paraId="7C3841E8" w14:textId="206F77C5" w:rsidR="00627767" w:rsidRPr="005A1B57" w:rsidRDefault="005A1B57" w:rsidP="005A1B57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generó un espacio de retroalimentación donde los participantes compartieron inquietudes y sugerencias, las cuales fueron escuchadas y aclaradas durante la jornada.</w:t>
      </w:r>
    </w:p>
    <w:p w14:paraId="374868DF" w14:textId="77777777" w:rsidR="002E264F" w:rsidRPr="002E264F" w:rsidRDefault="002E264F" w:rsidP="00EE44E8">
      <w:pPr>
        <w:widowControl w:val="0"/>
        <w:spacing w:line="360" w:lineRule="auto"/>
        <w:jc w:val="right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6FEBFC5D" w14:textId="13DC6160" w:rsidR="002E264F" w:rsidRPr="002E264F" w:rsidRDefault="002E264F" w:rsidP="002E264F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DESARROLLO DE LA ACTIVIDAD: </w:t>
      </w:r>
      <w:r w:rsidR="00DC695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anexar el paso a paso de la capacitación. </w:t>
      </w:r>
    </w:p>
    <w:p w14:paraId="6DD9E07D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Instalación de la reunión</w:t>
      </w:r>
    </w:p>
    <w:p w14:paraId="5A86025C" w14:textId="2171D42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inició la actividad con la instalación formal de la reunión, explicando el objetivo orientado a promover la transparencia en el proceso de gestión de las PQRS.</w:t>
      </w:r>
    </w:p>
    <w:p w14:paraId="62157370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6BFA7EBB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Presentación de los canales de atención disponibles</w:t>
      </w:r>
    </w:p>
    <w:p w14:paraId="03DCAD1F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 xml:space="preserve">Se socializaron los diferentes canales a través de los cuales los usuarios pueden presentar sus PQRS, haciendo énfasis en el buzón físico como medio accesible para toda la </w:t>
      </w: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lastRenderedPageBreak/>
        <w:t>comunidad.</w:t>
      </w:r>
    </w:p>
    <w:p w14:paraId="43EA2201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08274C7F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Explicación del propósito del buzón de PQRS</w:t>
      </w:r>
    </w:p>
    <w:p w14:paraId="66AE463A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explicó el objetivo del buzón como herramienta para recibir quejas, peticiones, reclamos, sugerencias y felicitaciones, destacando su aporte al mejoramiento de la atención y los servicios.</w:t>
      </w:r>
    </w:p>
    <w:p w14:paraId="46C911B6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2AB94983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Detalle del procedimiento de recepción de las PQRS</w:t>
      </w:r>
    </w:p>
    <w:p w14:paraId="2145EAA0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describió el proceso mediante el cual se reciben las solicitudes, desde el depósito en el buzón hasta su recolección y registro por parte del personal responsable.</w:t>
      </w:r>
    </w:p>
    <w:p w14:paraId="1246D345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4223BB0F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Socialización del análisis y trámite interno</w:t>
      </w:r>
    </w:p>
    <w:p w14:paraId="6FCC02BE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explicó cómo las PQRS son clasificadas, analizadas y remitidas a las áreas competentes para su respectiva gestión, garantizando un tratamiento oportuno y responsable.</w:t>
      </w:r>
    </w:p>
    <w:p w14:paraId="00921A21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00011512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Información sobre los tiempos de respuesta</w:t>
      </w:r>
    </w:p>
    <w:p w14:paraId="4492060B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reiteró que las solicitudes son atendidas dentro del plazo establecido de hasta tres (3) días hábiles, conforme a los lineamientos institucionales.</w:t>
      </w:r>
    </w:p>
    <w:p w14:paraId="30FEA34F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33CBC9F1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Seguimiento y control del proceso</w:t>
      </w:r>
    </w:p>
    <w:p w14:paraId="2C0EFDE4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explicó el mecanismo de seguimiento que permite verificar el estado de cada PQRS y asegurar el cumplimiento de los tiempos de respuesta.</w:t>
      </w:r>
    </w:p>
    <w:p w14:paraId="562ED76A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5E0AD134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Comunicación de resultados al usuario</w:t>
      </w:r>
    </w:p>
    <w:p w14:paraId="60088D9B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informó la forma en que el usuario es notificado sobre la respuesta a su solicitud, garantizando claridad, respeto y oportunidad en la comunicación.</w:t>
      </w:r>
    </w:p>
    <w:p w14:paraId="432D6BB8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408A47B6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Espacio de diálogo con los participantes</w:t>
      </w:r>
    </w:p>
    <w:p w14:paraId="13EDF11A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generó un espacio de diálogo para resolver inquietudes, recibir comentarios y reforzar la comprensión del proceso de PQRS.</w:t>
      </w:r>
    </w:p>
    <w:p w14:paraId="0A71D346" w14:textId="77777777" w:rsidR="005A1B57" w:rsidRP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lastRenderedPageBreak/>
        <w:t>Cierre y compromisos</w:t>
      </w:r>
    </w:p>
    <w:p w14:paraId="4C832308" w14:textId="4BC2EB03" w:rsidR="003A7442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5A1B5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realizó el cierre de la actividad, destacando los compromisos institucionales frente a la atención de las PQRS y motivando a la comunidad a hacer uso del buzón como mecanismo de participación.</w:t>
      </w:r>
    </w:p>
    <w:p w14:paraId="2A7B7233" w14:textId="77777777" w:rsid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067A054B" w14:textId="77777777" w:rsidR="005A1B57" w:rsidRDefault="005A1B57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65F133C6" w14:textId="42D5A2AB" w:rsidR="005A1B57" w:rsidRDefault="002E0ADB" w:rsidP="005A1B57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lastRenderedPageBreak/>
        <w:drawing>
          <wp:inline distT="0" distB="0" distL="0" distR="0" wp14:anchorId="18CE49B3" wp14:editId="036AA567">
            <wp:extent cx="6153150" cy="8204200"/>
            <wp:effectExtent l="0" t="0" r="0" b="6350"/>
            <wp:docPr id="2022662472" name="Imagen 1" descr="Imagen que contiene interior, persona, parado, muje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662472" name="Imagen 1" descr="Imagen que contiene interior, persona, parado, mujer&#10;&#10;El contenido generado por IA puede ser incorrecto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820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4B802" w14:textId="77777777" w:rsidR="004D681E" w:rsidRDefault="004D681E" w:rsidP="004D681E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110FE4DC" w14:textId="29CB937B" w:rsidR="004D681E" w:rsidRDefault="004D681E" w:rsidP="004D681E">
      <w:pPr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RESPONSABLE (CARGO Y PROFESION):</w:t>
      </w:r>
    </w:p>
    <w:p w14:paraId="607ABCA8" w14:textId="72EB6A0E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Salome Henao Quintero</w:t>
      </w:r>
    </w:p>
    <w:p w14:paraId="480F5DE9" w14:textId="0FBCA2C9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Profesional en Mercadeo</w:t>
      </w:r>
    </w:p>
    <w:p w14:paraId="53F95A01" w14:textId="4B65D6C6" w:rsidR="004D681E" w:rsidRPr="004D681E" w:rsidRDefault="004D681E" w:rsidP="004D681E">
      <w:pPr>
        <w:rPr>
          <w:sz w:val="24"/>
          <w:szCs w:val="24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Participación Social en Salud</w:t>
      </w:r>
    </w:p>
    <w:sectPr w:rsidR="004D681E" w:rsidRPr="004D681E" w:rsidSect="00DD610F">
      <w:headerReference w:type="even" r:id="rId8"/>
      <w:headerReference w:type="default" r:id="rId9"/>
      <w:footerReference w:type="default" r:id="rId10"/>
      <w:headerReference w:type="first" r:id="rId11"/>
      <w:pgSz w:w="12242" w:h="15842" w:code="1"/>
      <w:pgMar w:top="1134" w:right="1134" w:bottom="1134" w:left="1418" w:header="482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E38E0" w14:textId="77777777" w:rsidR="002E0171" w:rsidRDefault="002E0171" w:rsidP="00DD610F">
      <w:r>
        <w:separator/>
      </w:r>
    </w:p>
  </w:endnote>
  <w:endnote w:type="continuationSeparator" w:id="0">
    <w:p w14:paraId="5FCECCBB" w14:textId="77777777" w:rsidR="002E0171" w:rsidRDefault="002E0171" w:rsidP="00DD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1327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979757C" w14:textId="48779472" w:rsidR="002E264F" w:rsidRDefault="002E264F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D615D4" w14:textId="6E659106" w:rsidR="002E264F" w:rsidRPr="002E264F" w:rsidRDefault="002E264F">
    <w:pPr>
      <w:pStyle w:val="Piedepgin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4BC60" w14:textId="77777777" w:rsidR="002E0171" w:rsidRDefault="002E0171" w:rsidP="00DD610F">
      <w:r>
        <w:separator/>
      </w:r>
    </w:p>
  </w:footnote>
  <w:footnote w:type="continuationSeparator" w:id="0">
    <w:p w14:paraId="14A03327" w14:textId="77777777" w:rsidR="002E0171" w:rsidRDefault="002E0171" w:rsidP="00DD6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554B4" w14:textId="77777777" w:rsidR="00DD610F" w:rsidRDefault="00000000">
    <w:pPr>
      <w:pStyle w:val="Encabezado"/>
    </w:pPr>
    <w:r>
      <w:rPr>
        <w:noProof/>
      </w:rPr>
      <w:pict w14:anchorId="23120F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5" o:spid="_x0000_s1026" type="#_x0000_t136" style="position:absolute;margin-left:0;margin-top:0;width:650.65pt;height:68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97" w:tblpY="728"/>
      <w:tblOverlap w:val="never"/>
      <w:tblW w:w="10201" w:type="dxa"/>
      <w:tblInd w:w="0" w:type="dxa"/>
      <w:tblCellMar>
        <w:top w:w="10" w:type="dxa"/>
        <w:left w:w="4" w:type="dxa"/>
        <w:right w:w="62" w:type="dxa"/>
      </w:tblCellMar>
      <w:tblLook w:val="04A0" w:firstRow="1" w:lastRow="0" w:firstColumn="1" w:lastColumn="0" w:noHBand="0" w:noVBand="1"/>
    </w:tblPr>
    <w:tblGrid>
      <w:gridCol w:w="3114"/>
      <w:gridCol w:w="4252"/>
      <w:gridCol w:w="1136"/>
      <w:gridCol w:w="1699"/>
    </w:tblGrid>
    <w:tr w:rsidR="00B83BE9" w14:paraId="48AE10BD" w14:textId="77777777" w:rsidTr="004B782C">
      <w:trPr>
        <w:trHeight w:val="852"/>
      </w:trPr>
      <w:tc>
        <w:tcPr>
          <w:tcW w:w="311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5B0329B" w14:textId="77777777" w:rsidR="00B83BE9" w:rsidRDefault="00B83BE9" w:rsidP="00B83BE9">
          <w:pPr>
            <w:spacing w:after="46" w:line="252" w:lineRule="auto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26F651B9" wp14:editId="52A9EEBD">
                <wp:simplePos x="0" y="0"/>
                <wp:positionH relativeFrom="column">
                  <wp:posOffset>46990</wp:posOffset>
                </wp:positionH>
                <wp:positionV relativeFrom="paragraph">
                  <wp:posOffset>163830</wp:posOffset>
                </wp:positionV>
                <wp:extent cx="1847850" cy="657225"/>
                <wp:effectExtent l="0" t="0" r="0" b="9525"/>
                <wp:wrapNone/>
                <wp:docPr id="21" name="Imagen 21" descr="Descripción: H:\unnamed[1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Descripción: H:\unnamed[1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sz w:val="13"/>
            </w:rPr>
            <w:t xml:space="preserve"> </w:t>
          </w:r>
        </w:p>
        <w:p w14:paraId="53920666" w14:textId="77777777" w:rsidR="00B83BE9" w:rsidRDefault="00B83BE9" w:rsidP="00B83BE9">
          <w:pPr>
            <w:spacing w:line="252" w:lineRule="auto"/>
            <w:ind w:left="517"/>
            <w:rPr>
              <w:color w:val="00000A"/>
            </w:rPr>
          </w:pPr>
          <w:r>
            <w:rPr>
              <w:rFonts w:ascii="Times New Roman" w:hAnsi="Times New Roman"/>
            </w:rPr>
            <w:t xml:space="preserve"> </w:t>
          </w: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0C69B2" w14:textId="77777777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</w:p>
        <w:p w14:paraId="56086B30" w14:textId="2F80D643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 w:val="24"/>
              <w:szCs w:val="22"/>
              <w:lang w:val="es-CO" w:eastAsia="en-US"/>
            </w:rPr>
            <w:t>BITACORA DE CAPACITACION</w:t>
          </w:r>
        </w:p>
      </w:tc>
      <w:tc>
        <w:tcPr>
          <w:tcW w:w="11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C04F3CC" w14:textId="77777777" w:rsidR="00B83BE9" w:rsidRPr="00B83BE9" w:rsidRDefault="00B83BE9" w:rsidP="00B83BE9">
          <w:pPr>
            <w:spacing w:after="82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</w:rPr>
            <w:t xml:space="preserve"> </w:t>
          </w:r>
        </w:p>
        <w:p w14:paraId="0509870B" w14:textId="77777777" w:rsidR="00B83BE9" w:rsidRPr="00B83BE9" w:rsidRDefault="00B83BE9" w:rsidP="00B83BE9">
          <w:pPr>
            <w:spacing w:line="252" w:lineRule="auto"/>
            <w:ind w:left="85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Versión: 1 </w:t>
          </w:r>
        </w:p>
      </w:tc>
      <w:tc>
        <w:tcPr>
          <w:tcW w:w="16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98E71BC" w14:textId="189037E1" w:rsidR="00B83BE9" w:rsidRPr="00B83BE9" w:rsidRDefault="00B83BE9" w:rsidP="00B83BE9">
          <w:pPr>
            <w:spacing w:line="252" w:lineRule="auto"/>
            <w:ind w:right="54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20"/>
            </w:rPr>
            <w:t>FO-TH-46</w:t>
          </w:r>
        </w:p>
      </w:tc>
    </w:tr>
    <w:tr w:rsidR="00B83BE9" w14:paraId="54930366" w14:textId="77777777" w:rsidTr="004B782C">
      <w:trPr>
        <w:trHeight w:val="510"/>
      </w:trPr>
      <w:tc>
        <w:tcPr>
          <w:tcW w:w="31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8C4FB86" w14:textId="77777777" w:rsidR="00B83BE9" w:rsidRDefault="00B83BE9" w:rsidP="00B83BE9">
          <w:pPr>
            <w:rPr>
              <w:color w:val="00000A"/>
            </w:rPr>
          </w:pP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7F22DDB" w14:textId="551DC0D2" w:rsidR="00B83BE9" w:rsidRPr="00B83BE9" w:rsidRDefault="00B83BE9" w:rsidP="00B83BE9">
          <w:pPr>
            <w:spacing w:after="6" w:line="252" w:lineRule="aut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Cs w:val="22"/>
              <w:lang w:val="es-CO" w:eastAsia="en-US"/>
            </w:rPr>
            <w:t>PROCESO</w:t>
          </w:r>
          <w:r w:rsidRPr="00B83BE9">
            <w:rPr>
              <w:rFonts w:ascii="Arial" w:eastAsiaTheme="minorHAnsi" w:hAnsi="Arial" w:cs="Arial"/>
              <w:szCs w:val="22"/>
              <w:lang w:val="es-CO" w:eastAsia="en-US"/>
            </w:rPr>
            <w:t>: TALENTO HUMANO</w:t>
          </w:r>
        </w:p>
      </w:tc>
      <w:tc>
        <w:tcPr>
          <w:tcW w:w="283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0D5ECCC" w14:textId="77777777" w:rsidR="00B83BE9" w:rsidRPr="00B83BE9" w:rsidRDefault="00B83BE9" w:rsidP="00B83BE9">
          <w:pPr>
            <w:spacing w:after="7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5"/>
            </w:rPr>
            <w:t xml:space="preserve"> </w:t>
          </w:r>
        </w:p>
        <w:p w14:paraId="69EA1776" w14:textId="77777777" w:rsidR="00B83BE9" w:rsidRPr="00B83BE9" w:rsidRDefault="00B83BE9" w:rsidP="00B83BE9">
          <w:pPr>
            <w:spacing w:line="252" w:lineRule="auto"/>
            <w:ind w:right="28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Página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PAGE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de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</w:t>
          </w:r>
        </w:p>
      </w:tc>
    </w:tr>
  </w:tbl>
  <w:p w14:paraId="461D966B" w14:textId="77777777" w:rsidR="00DD610F" w:rsidRDefault="00DD610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17EC" w14:textId="77777777" w:rsidR="00DD610F" w:rsidRDefault="00000000">
    <w:pPr>
      <w:pStyle w:val="Encabezado"/>
    </w:pPr>
    <w:r>
      <w:rPr>
        <w:noProof/>
      </w:rPr>
      <w:pict w14:anchorId="30C6DC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4" o:spid="_x0000_s1025" type="#_x0000_t136" style="position:absolute;margin-left:0;margin-top:0;width:650.65pt;height:68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37928"/>
    <w:multiLevelType w:val="multilevel"/>
    <w:tmpl w:val="7A0E0F76"/>
    <w:styleLink w:val="Lista31"/>
    <w:lvl w:ilvl="0">
      <w:start w:val="4"/>
      <w:numFmt w:val="bullet"/>
      <w:lvlText w:val="-"/>
      <w:lvlJc w:val="left"/>
      <w:pPr>
        <w:tabs>
          <w:tab w:val="num" w:pos="469"/>
        </w:tabs>
        <w:ind w:left="469" w:hanging="327"/>
      </w:pPr>
      <w:rPr>
        <w:rFonts w:ascii="Arial Narrow" w:eastAsia="Arial Narrow" w:hAnsi="Arial Narrow" w:cs="Arial Narrow"/>
        <w:position w:val="0"/>
        <w:sz w:val="20"/>
        <w:szCs w:val="20"/>
        <w:shd w:val="clear" w:color="auto" w:fill="FFFFFF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1117"/>
        </w:tabs>
        <w:ind w:left="11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2">
      <w:start w:val="1"/>
      <w:numFmt w:val="bullet"/>
      <w:lvlText w:val="▪"/>
      <w:lvlJc w:val="left"/>
      <w:pPr>
        <w:tabs>
          <w:tab w:val="num" w:pos="1837"/>
        </w:tabs>
        <w:ind w:left="18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3">
      <w:start w:val="1"/>
      <w:numFmt w:val="bullet"/>
      <w:lvlText w:val="•"/>
      <w:lvlJc w:val="left"/>
      <w:pPr>
        <w:tabs>
          <w:tab w:val="num" w:pos="2557"/>
        </w:tabs>
        <w:ind w:left="25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3277"/>
        </w:tabs>
        <w:ind w:left="327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5">
      <w:start w:val="1"/>
      <w:numFmt w:val="bullet"/>
      <w:lvlText w:val="▪"/>
      <w:lvlJc w:val="left"/>
      <w:pPr>
        <w:tabs>
          <w:tab w:val="num" w:pos="3997"/>
        </w:tabs>
        <w:ind w:left="399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6">
      <w:start w:val="1"/>
      <w:numFmt w:val="bullet"/>
      <w:lvlText w:val="•"/>
      <w:lvlJc w:val="left"/>
      <w:pPr>
        <w:tabs>
          <w:tab w:val="num" w:pos="4717"/>
        </w:tabs>
        <w:ind w:left="47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5437"/>
        </w:tabs>
        <w:ind w:left="54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8">
      <w:start w:val="1"/>
      <w:numFmt w:val="bullet"/>
      <w:lvlText w:val="▪"/>
      <w:lvlJc w:val="left"/>
      <w:pPr>
        <w:tabs>
          <w:tab w:val="num" w:pos="6157"/>
        </w:tabs>
        <w:ind w:left="61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</w:abstractNum>
  <w:abstractNum w:abstractNumId="1" w15:restartNumberingAfterBreak="0">
    <w:nsid w:val="09BF28B1"/>
    <w:multiLevelType w:val="hybridMultilevel"/>
    <w:tmpl w:val="74D6D40C"/>
    <w:lvl w:ilvl="0" w:tplc="0C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3E14A3F"/>
    <w:multiLevelType w:val="multilevel"/>
    <w:tmpl w:val="4EC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2F187E"/>
    <w:multiLevelType w:val="hybridMultilevel"/>
    <w:tmpl w:val="B994FD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B110D"/>
    <w:multiLevelType w:val="hybridMultilevel"/>
    <w:tmpl w:val="C6AAE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33FF4"/>
    <w:multiLevelType w:val="multilevel"/>
    <w:tmpl w:val="8E304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8269A"/>
    <w:multiLevelType w:val="hybridMultilevel"/>
    <w:tmpl w:val="46080E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12396"/>
    <w:multiLevelType w:val="hybridMultilevel"/>
    <w:tmpl w:val="CAEA2E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10AA"/>
    <w:multiLevelType w:val="hybridMultilevel"/>
    <w:tmpl w:val="998C024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95574"/>
    <w:multiLevelType w:val="multilevel"/>
    <w:tmpl w:val="2102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AD0F27"/>
    <w:multiLevelType w:val="multilevel"/>
    <w:tmpl w:val="E9C4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8C39F4"/>
    <w:multiLevelType w:val="hybridMultilevel"/>
    <w:tmpl w:val="A53EE424"/>
    <w:lvl w:ilvl="0" w:tplc="6DB0702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0285A"/>
    <w:multiLevelType w:val="hybridMultilevel"/>
    <w:tmpl w:val="0EE23C1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B23091"/>
    <w:multiLevelType w:val="multilevel"/>
    <w:tmpl w:val="AE4C4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5D65BCB"/>
    <w:multiLevelType w:val="multilevel"/>
    <w:tmpl w:val="8484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DC5ABA"/>
    <w:multiLevelType w:val="hybridMultilevel"/>
    <w:tmpl w:val="A8FE9A6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D23B4B"/>
    <w:multiLevelType w:val="hybridMultilevel"/>
    <w:tmpl w:val="E1CE4A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1871895">
    <w:abstractNumId w:val="1"/>
  </w:num>
  <w:num w:numId="2" w16cid:durableId="1261984888">
    <w:abstractNumId w:val="12"/>
  </w:num>
  <w:num w:numId="3" w16cid:durableId="709109276">
    <w:abstractNumId w:val="16"/>
  </w:num>
  <w:num w:numId="4" w16cid:durableId="805389966">
    <w:abstractNumId w:val="6"/>
  </w:num>
  <w:num w:numId="5" w16cid:durableId="1468819389">
    <w:abstractNumId w:val="8"/>
  </w:num>
  <w:num w:numId="6" w16cid:durableId="1233200817">
    <w:abstractNumId w:val="0"/>
  </w:num>
  <w:num w:numId="7" w16cid:durableId="745961457">
    <w:abstractNumId w:val="15"/>
  </w:num>
  <w:num w:numId="8" w16cid:durableId="1156998934">
    <w:abstractNumId w:val="13"/>
  </w:num>
  <w:num w:numId="9" w16cid:durableId="508451999">
    <w:abstractNumId w:val="3"/>
  </w:num>
  <w:num w:numId="10" w16cid:durableId="1545408405">
    <w:abstractNumId w:val="11"/>
  </w:num>
  <w:num w:numId="11" w16cid:durableId="498154516">
    <w:abstractNumId w:val="4"/>
  </w:num>
  <w:num w:numId="12" w16cid:durableId="1049105791">
    <w:abstractNumId w:val="7"/>
  </w:num>
  <w:num w:numId="13" w16cid:durableId="1951551949">
    <w:abstractNumId w:val="10"/>
  </w:num>
  <w:num w:numId="14" w16cid:durableId="1749884296">
    <w:abstractNumId w:val="14"/>
  </w:num>
  <w:num w:numId="15" w16cid:durableId="1250577030">
    <w:abstractNumId w:val="2"/>
  </w:num>
  <w:num w:numId="16" w16cid:durableId="1202936662">
    <w:abstractNumId w:val="9"/>
  </w:num>
  <w:num w:numId="17" w16cid:durableId="1358314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0F"/>
    <w:rsid w:val="00004DAA"/>
    <w:rsid w:val="0002218A"/>
    <w:rsid w:val="000502FB"/>
    <w:rsid w:val="0006516C"/>
    <w:rsid w:val="00066049"/>
    <w:rsid w:val="00066568"/>
    <w:rsid w:val="00086DE9"/>
    <w:rsid w:val="00087982"/>
    <w:rsid w:val="000924E4"/>
    <w:rsid w:val="000B4866"/>
    <w:rsid w:val="001040F2"/>
    <w:rsid w:val="00125F9C"/>
    <w:rsid w:val="00131217"/>
    <w:rsid w:val="00177308"/>
    <w:rsid w:val="00193985"/>
    <w:rsid w:val="001E328C"/>
    <w:rsid w:val="0021336F"/>
    <w:rsid w:val="0024139D"/>
    <w:rsid w:val="00261530"/>
    <w:rsid w:val="0026296C"/>
    <w:rsid w:val="00275C3B"/>
    <w:rsid w:val="0029302E"/>
    <w:rsid w:val="002A71A5"/>
    <w:rsid w:val="002E0171"/>
    <w:rsid w:val="002E0ADB"/>
    <w:rsid w:val="002E264F"/>
    <w:rsid w:val="002F48A2"/>
    <w:rsid w:val="00315B83"/>
    <w:rsid w:val="00323A9F"/>
    <w:rsid w:val="0033620F"/>
    <w:rsid w:val="00371EEF"/>
    <w:rsid w:val="00380FD0"/>
    <w:rsid w:val="003830CB"/>
    <w:rsid w:val="003A5618"/>
    <w:rsid w:val="003A7442"/>
    <w:rsid w:val="003B0BCA"/>
    <w:rsid w:val="003B27D7"/>
    <w:rsid w:val="003C3B71"/>
    <w:rsid w:val="003C73DE"/>
    <w:rsid w:val="0040450C"/>
    <w:rsid w:val="00414DD9"/>
    <w:rsid w:val="0043094E"/>
    <w:rsid w:val="004367B5"/>
    <w:rsid w:val="004532A2"/>
    <w:rsid w:val="0047066F"/>
    <w:rsid w:val="00475091"/>
    <w:rsid w:val="00480FA5"/>
    <w:rsid w:val="00483F01"/>
    <w:rsid w:val="00496ADA"/>
    <w:rsid w:val="004D681E"/>
    <w:rsid w:val="005012FE"/>
    <w:rsid w:val="0054499F"/>
    <w:rsid w:val="005657B0"/>
    <w:rsid w:val="0057354E"/>
    <w:rsid w:val="005A1B57"/>
    <w:rsid w:val="005D21E1"/>
    <w:rsid w:val="005D5CA9"/>
    <w:rsid w:val="00627767"/>
    <w:rsid w:val="00650E05"/>
    <w:rsid w:val="00670D09"/>
    <w:rsid w:val="00676718"/>
    <w:rsid w:val="006836DF"/>
    <w:rsid w:val="006A0BCC"/>
    <w:rsid w:val="006D6C0E"/>
    <w:rsid w:val="006E2674"/>
    <w:rsid w:val="006F13DC"/>
    <w:rsid w:val="0070667C"/>
    <w:rsid w:val="00764A2B"/>
    <w:rsid w:val="007707C5"/>
    <w:rsid w:val="0078384A"/>
    <w:rsid w:val="00790F7B"/>
    <w:rsid w:val="0079430E"/>
    <w:rsid w:val="007A0367"/>
    <w:rsid w:val="007A3F4F"/>
    <w:rsid w:val="007A767C"/>
    <w:rsid w:val="007B25B0"/>
    <w:rsid w:val="007B2DDE"/>
    <w:rsid w:val="007D2249"/>
    <w:rsid w:val="00833126"/>
    <w:rsid w:val="00842E99"/>
    <w:rsid w:val="008C7A09"/>
    <w:rsid w:val="008D002B"/>
    <w:rsid w:val="009468D9"/>
    <w:rsid w:val="009546DC"/>
    <w:rsid w:val="00967125"/>
    <w:rsid w:val="009B1EEB"/>
    <w:rsid w:val="009D1958"/>
    <w:rsid w:val="009E41E4"/>
    <w:rsid w:val="00A16AB3"/>
    <w:rsid w:val="00A37DBB"/>
    <w:rsid w:val="00A60AEE"/>
    <w:rsid w:val="00A974B1"/>
    <w:rsid w:val="00AD012A"/>
    <w:rsid w:val="00AD302C"/>
    <w:rsid w:val="00B062F5"/>
    <w:rsid w:val="00B135F5"/>
    <w:rsid w:val="00B60544"/>
    <w:rsid w:val="00B83BE9"/>
    <w:rsid w:val="00BB00A5"/>
    <w:rsid w:val="00BB01EF"/>
    <w:rsid w:val="00BB0D4A"/>
    <w:rsid w:val="00BF05E6"/>
    <w:rsid w:val="00BF7927"/>
    <w:rsid w:val="00C0092D"/>
    <w:rsid w:val="00C3215E"/>
    <w:rsid w:val="00C6734F"/>
    <w:rsid w:val="00C82012"/>
    <w:rsid w:val="00C97006"/>
    <w:rsid w:val="00D20183"/>
    <w:rsid w:val="00D37D9B"/>
    <w:rsid w:val="00D50F35"/>
    <w:rsid w:val="00D70CF9"/>
    <w:rsid w:val="00DA21EC"/>
    <w:rsid w:val="00DA32B8"/>
    <w:rsid w:val="00DB730E"/>
    <w:rsid w:val="00DC695E"/>
    <w:rsid w:val="00DD610F"/>
    <w:rsid w:val="00DE3260"/>
    <w:rsid w:val="00E0646E"/>
    <w:rsid w:val="00E10251"/>
    <w:rsid w:val="00E12D0C"/>
    <w:rsid w:val="00E254AA"/>
    <w:rsid w:val="00E649A2"/>
    <w:rsid w:val="00E97A82"/>
    <w:rsid w:val="00EB7D65"/>
    <w:rsid w:val="00EC6874"/>
    <w:rsid w:val="00ED13AD"/>
    <w:rsid w:val="00EE44E8"/>
    <w:rsid w:val="00EE5089"/>
    <w:rsid w:val="00F11883"/>
    <w:rsid w:val="00F37081"/>
    <w:rsid w:val="00FA64DB"/>
    <w:rsid w:val="00FB7B76"/>
    <w:rsid w:val="00FC6664"/>
    <w:rsid w:val="00FE5562"/>
    <w:rsid w:val="00F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F7DFD"/>
  <w15:chartTrackingRefBased/>
  <w15:docId w15:val="{079A6240-3E64-45D5-BBE0-9FE14F90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10F"/>
    <w:pPr>
      <w:spacing w:after="0" w:line="240" w:lineRule="auto"/>
    </w:pPr>
    <w:rPr>
      <w:rFonts w:ascii="Book Antiqua" w:eastAsia="Times New Roman" w:hAnsi="Book Antiqua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367B5"/>
    <w:pPr>
      <w:keepNext/>
      <w:keepLines/>
      <w:spacing w:before="240" w:line="259" w:lineRule="auto"/>
      <w:jc w:val="both"/>
      <w:outlineLvl w:val="0"/>
    </w:pPr>
    <w:rPr>
      <w:rFonts w:ascii="Arial" w:eastAsiaTheme="majorEastAsia" w:hAnsi="Arial" w:cstheme="majorBidi"/>
      <w:b/>
      <w:sz w:val="24"/>
      <w:szCs w:val="32"/>
      <w:lang w:val="es-CO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67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660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DD61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DD610F"/>
    <w:pPr>
      <w:jc w:val="both"/>
    </w:pPr>
    <w:rPr>
      <w:rFonts w:ascii="Tahoma" w:hAnsi="Tahoma" w:cs="Tahoma"/>
    </w:rPr>
  </w:style>
  <w:style w:type="character" w:customStyle="1" w:styleId="TextoindependienteCar">
    <w:name w:val="Texto independiente Car"/>
    <w:basedOn w:val="Fuentedeprrafopredeter"/>
    <w:link w:val="Textoindependiente"/>
    <w:rsid w:val="00DD610F"/>
    <w:rPr>
      <w:rFonts w:ascii="Tahoma" w:eastAsia="Times New Roman" w:hAnsi="Tahoma" w:cs="Tahoma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DD610F"/>
    <w:pPr>
      <w:ind w:right="-98"/>
      <w:jc w:val="both"/>
    </w:pPr>
    <w:rPr>
      <w:rFonts w:ascii="Tahoma" w:hAnsi="Tahoma" w:cs="Tahoma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D610F"/>
    <w:rPr>
      <w:rFonts w:ascii="Tahoma" w:eastAsia="Times New Roman" w:hAnsi="Tahoma" w:cs="Tahoma"/>
      <w:szCs w:val="20"/>
      <w:lang w:val="es-ES" w:eastAsia="es-ES"/>
    </w:rPr>
  </w:style>
  <w:style w:type="paragraph" w:customStyle="1" w:styleId="Epgrafe1">
    <w:name w:val="Epígrafe1"/>
    <w:basedOn w:val="Normal"/>
    <w:next w:val="Normal"/>
    <w:qFormat/>
    <w:rsid w:val="00DD610F"/>
    <w:rPr>
      <w:rFonts w:ascii="Arial" w:hAnsi="Arial" w:cs="Arial"/>
      <w:b/>
      <w:bCs/>
      <w:szCs w:val="24"/>
    </w:rPr>
  </w:style>
  <w:style w:type="numbering" w:customStyle="1" w:styleId="Lista31">
    <w:name w:val="Lista 31"/>
    <w:basedOn w:val="Sinlista"/>
    <w:rsid w:val="00DD610F"/>
    <w:pPr>
      <w:numPr>
        <w:numId w:val="6"/>
      </w:numPr>
    </w:pPr>
  </w:style>
  <w:style w:type="paragraph" w:styleId="Piedepgina">
    <w:name w:val="footer"/>
    <w:basedOn w:val="Normal"/>
    <w:link w:val="PiedepginaCar"/>
    <w:uiPriority w:val="99"/>
    <w:unhideWhenUsed/>
    <w:rsid w:val="00DD61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DD6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A036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4367B5"/>
    <w:rPr>
      <w:rFonts w:ascii="Arial" w:eastAsiaTheme="majorEastAsia" w:hAnsi="Arial" w:cstheme="majorBidi"/>
      <w:b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67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s-ES"/>
    </w:rPr>
  </w:style>
  <w:style w:type="character" w:styleId="Nmerodepgina">
    <w:name w:val="page number"/>
    <w:basedOn w:val="Fuentedeprrafopredeter"/>
    <w:uiPriority w:val="99"/>
    <w:unhideWhenUsed/>
    <w:rsid w:val="002E264F"/>
  </w:style>
  <w:style w:type="table" w:customStyle="1" w:styleId="TableGrid">
    <w:name w:val="TableGrid"/>
    <w:rsid w:val="00B83BE9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06604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06604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0660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5</Pages>
  <Words>498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Alejandra Rodriguez</dc:creator>
  <cp:keywords/>
  <dc:description/>
  <cp:lastModifiedBy>SALOME HENAO QUINTERO</cp:lastModifiedBy>
  <cp:revision>8</cp:revision>
  <cp:lastPrinted>2021-01-19T18:26:00Z</cp:lastPrinted>
  <dcterms:created xsi:type="dcterms:W3CDTF">2026-02-10T16:45:00Z</dcterms:created>
  <dcterms:modified xsi:type="dcterms:W3CDTF">2026-02-12T20:12:00Z</dcterms:modified>
</cp:coreProperties>
</file>